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ECC" w:rsidRPr="002F5ECC" w:rsidRDefault="002F5ECC" w:rsidP="002F5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F5ECC">
        <w:rPr>
          <w:rFonts w:ascii="Times New Roman" w:eastAsia="Times New Roman" w:hAnsi="Times New Roman" w:cs="Times New Roman"/>
          <w:sz w:val="24"/>
          <w:szCs w:val="24"/>
          <w:lang w:eastAsia="pt-PT"/>
        </w:rPr>
        <w:t>Durante o primeiro semestre de 2018 (1 de janeiro a 30 de junho 2018) a Presidência do Conselho da União Europeia foi exercida pela Bulgária.</w:t>
      </w:r>
    </w:p>
    <w:p w:rsidR="002F5ECC" w:rsidRPr="002F5ECC" w:rsidRDefault="002F5ECC" w:rsidP="002F5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F5ECC">
        <w:rPr>
          <w:rFonts w:ascii="Times New Roman" w:eastAsia="Times New Roman" w:hAnsi="Times New Roman" w:cs="Times New Roman"/>
          <w:sz w:val="24"/>
          <w:szCs w:val="24"/>
          <w:lang w:eastAsia="pt-PT"/>
        </w:rPr>
        <w:t>A formação do Conselho Educação, Juventude, Cultura e Desporto realizou duas reuniões:</w:t>
      </w:r>
    </w:p>
    <w:p w:rsidR="002F5ECC" w:rsidRPr="002F5ECC" w:rsidRDefault="002F5ECC" w:rsidP="002F5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F5ECC">
        <w:rPr>
          <w:rFonts w:ascii="Times New Roman" w:eastAsia="Times New Roman" w:hAnsi="Times New Roman" w:cs="Times New Roman"/>
          <w:sz w:val="24"/>
          <w:szCs w:val="24"/>
          <w:lang w:eastAsia="pt-PT"/>
        </w:rPr>
        <w:t>1) Reunião n.º 3595, a 15 de fevereiro de 2018, em Bruxelas (educação)</w:t>
      </w:r>
    </w:p>
    <w:p w:rsidR="002F5ECC" w:rsidRPr="002F5ECC" w:rsidRDefault="002F5ECC" w:rsidP="002F5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F5ECC">
        <w:rPr>
          <w:rFonts w:ascii="Times New Roman" w:eastAsia="Times New Roman" w:hAnsi="Times New Roman" w:cs="Times New Roman"/>
          <w:sz w:val="24"/>
          <w:szCs w:val="24"/>
          <w:lang w:eastAsia="pt-PT"/>
        </w:rPr>
        <w:t>O Conselho realizou dois debates de orientação política, um sobre </w:t>
      </w:r>
      <w:hyperlink r:id="rId5" w:history="1">
        <w:r w:rsidRPr="002F5E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a avaliação intercalar do programa Erasmus+ e o período pós-2020</w:t>
        </w:r>
      </w:hyperlink>
      <w:r w:rsidRPr="002F5ECC">
        <w:rPr>
          <w:rFonts w:ascii="Times New Roman" w:eastAsia="Times New Roman" w:hAnsi="Times New Roman" w:cs="Times New Roman"/>
          <w:sz w:val="24"/>
          <w:szCs w:val="24"/>
          <w:lang w:eastAsia="pt-PT"/>
        </w:rPr>
        <w:t> e outro sobre as questões da </w:t>
      </w:r>
      <w:hyperlink r:id="rId6" w:history="1">
        <w:r w:rsidRPr="002F5E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educação nas conclusões do Conselho Europeu de dezembro 2017</w:t>
        </w:r>
      </w:hyperlink>
      <w:r w:rsidRPr="002F5ECC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2F5ECC" w:rsidRPr="002F5ECC" w:rsidRDefault="002F5ECC" w:rsidP="002F5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F5ECC">
        <w:rPr>
          <w:rFonts w:ascii="Times New Roman" w:eastAsia="Times New Roman" w:hAnsi="Times New Roman" w:cs="Times New Roman"/>
          <w:sz w:val="24"/>
          <w:szCs w:val="24"/>
          <w:lang w:eastAsia="pt-PT"/>
        </w:rPr>
        <w:t>A Comissão apresentou os resultados da </w:t>
      </w:r>
      <w:hyperlink r:id="rId7" w:history="1">
        <w:r w:rsidRPr="002F5E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1ª Cimeira Europeia da Educação</w:t>
        </w:r>
      </w:hyperlink>
      <w:r w:rsidRPr="002F5ECC">
        <w:rPr>
          <w:rFonts w:ascii="Times New Roman" w:eastAsia="Times New Roman" w:hAnsi="Times New Roman" w:cs="Times New Roman"/>
          <w:sz w:val="24"/>
          <w:szCs w:val="24"/>
          <w:lang w:eastAsia="pt-PT"/>
        </w:rPr>
        <w:t>, realizada a 25 de janeiro de 2018.</w:t>
      </w:r>
    </w:p>
    <w:p w:rsidR="002F5ECC" w:rsidRPr="002F5ECC" w:rsidRDefault="002F5ECC" w:rsidP="002F5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2F5ECC" w:rsidRPr="002F5ECC" w:rsidRDefault="002F5ECC" w:rsidP="002F5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F5ECC">
        <w:rPr>
          <w:rFonts w:ascii="Times New Roman" w:eastAsia="Times New Roman" w:hAnsi="Times New Roman" w:cs="Times New Roman"/>
          <w:sz w:val="24"/>
          <w:szCs w:val="24"/>
          <w:lang w:eastAsia="pt-PT"/>
        </w:rPr>
        <w:t>2) Reunião n.º 3617 - 22 e 23 de maio em Bruxelas</w:t>
      </w:r>
    </w:p>
    <w:p w:rsidR="002F5ECC" w:rsidRPr="002F5ECC" w:rsidRDefault="002F5ECC" w:rsidP="002F5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F5ECC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Educação</w:t>
      </w:r>
    </w:p>
    <w:p w:rsidR="002F5ECC" w:rsidRPr="002F5ECC" w:rsidRDefault="002F5ECC" w:rsidP="002F5E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F5ECC">
        <w:rPr>
          <w:rFonts w:ascii="Times New Roman" w:eastAsia="Times New Roman" w:hAnsi="Times New Roman" w:cs="Times New Roman"/>
          <w:sz w:val="24"/>
          <w:szCs w:val="24"/>
          <w:lang w:eastAsia="pt-PT"/>
        </w:rPr>
        <w:t>Recomendação sobre as </w:t>
      </w:r>
      <w:hyperlink r:id="rId8" w:history="1">
        <w:r w:rsidRPr="002F5E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competências-chave para a aprendizagem ao longo da vida</w:t>
        </w:r>
      </w:hyperlink>
      <w:r w:rsidRPr="002F5ECC">
        <w:rPr>
          <w:rFonts w:ascii="Times New Roman" w:eastAsia="Times New Roman" w:hAnsi="Times New Roman" w:cs="Times New Roman"/>
          <w:sz w:val="24"/>
          <w:szCs w:val="24"/>
          <w:lang w:eastAsia="pt-PT"/>
        </w:rPr>
        <w:t>;</w:t>
      </w:r>
    </w:p>
    <w:p w:rsidR="002F5ECC" w:rsidRPr="002F5ECC" w:rsidRDefault="002F5ECC" w:rsidP="002F5E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F5ECC">
        <w:rPr>
          <w:rFonts w:ascii="Times New Roman" w:eastAsia="Times New Roman" w:hAnsi="Times New Roman" w:cs="Times New Roman"/>
          <w:sz w:val="24"/>
          <w:szCs w:val="24"/>
          <w:lang w:eastAsia="pt-PT"/>
        </w:rPr>
        <w:t>Recomendação sobre a </w:t>
      </w:r>
      <w:hyperlink r:id="rId9" w:history="1">
        <w:r w:rsidRPr="002F5E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promoção dos valores comuns, da educação inclusiva e da dimensão europeia do ensino</w:t>
        </w:r>
      </w:hyperlink>
      <w:r w:rsidRPr="002F5ECC">
        <w:rPr>
          <w:rFonts w:ascii="Times New Roman" w:eastAsia="Times New Roman" w:hAnsi="Times New Roman" w:cs="Times New Roman"/>
          <w:sz w:val="24"/>
          <w:szCs w:val="24"/>
          <w:lang w:eastAsia="pt-PT"/>
        </w:rPr>
        <w:t>;</w:t>
      </w:r>
    </w:p>
    <w:p w:rsidR="002F5ECC" w:rsidRPr="002F5ECC" w:rsidRDefault="002F5ECC" w:rsidP="002F5E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F5ECC">
        <w:rPr>
          <w:rFonts w:ascii="Times New Roman" w:eastAsia="Times New Roman" w:hAnsi="Times New Roman" w:cs="Times New Roman"/>
          <w:sz w:val="24"/>
          <w:szCs w:val="24"/>
          <w:lang w:eastAsia="pt-PT"/>
        </w:rPr>
        <w:t>Conclusões </w:t>
      </w:r>
      <w:hyperlink r:id="rId10" w:history="1">
        <w:r w:rsidRPr="002F5E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Rumo a uma visão de um Espaço Europeu da Educação</w:t>
        </w:r>
      </w:hyperlink>
      <w:r w:rsidRPr="002F5ECC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2F5ECC" w:rsidRPr="002F5ECC" w:rsidRDefault="002F5ECC" w:rsidP="002F5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2F5ECC" w:rsidRPr="002F5ECC" w:rsidRDefault="002F5ECC" w:rsidP="002F5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F5ECC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Juventude</w:t>
      </w:r>
    </w:p>
    <w:p w:rsidR="002F5ECC" w:rsidRPr="002F5ECC" w:rsidRDefault="002F5ECC" w:rsidP="002F5E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F5ECC">
        <w:rPr>
          <w:rFonts w:ascii="Times New Roman" w:eastAsia="Times New Roman" w:hAnsi="Times New Roman" w:cs="Times New Roman"/>
          <w:sz w:val="24"/>
          <w:szCs w:val="24"/>
          <w:lang w:eastAsia="pt-PT"/>
        </w:rPr>
        <w:t>Conclusões sobre </w:t>
      </w:r>
      <w:hyperlink r:id="rId11" w:history="1">
        <w:r w:rsidRPr="002F5E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o papel dos jovens na construção de uma sociedade segura, coesa e harmoniosa na Europa</w:t>
        </w:r>
      </w:hyperlink>
      <w:r w:rsidRPr="002F5ECC">
        <w:rPr>
          <w:rFonts w:ascii="Times New Roman" w:eastAsia="Times New Roman" w:hAnsi="Times New Roman" w:cs="Times New Roman"/>
          <w:sz w:val="24"/>
          <w:szCs w:val="24"/>
          <w:lang w:eastAsia="pt-PT"/>
        </w:rPr>
        <w:t>;</w:t>
      </w:r>
    </w:p>
    <w:p w:rsidR="002F5ECC" w:rsidRPr="002F5ECC" w:rsidRDefault="002F5ECC" w:rsidP="002F5E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F5ECC">
        <w:rPr>
          <w:rFonts w:ascii="Times New Roman" w:eastAsia="Times New Roman" w:hAnsi="Times New Roman" w:cs="Times New Roman"/>
          <w:sz w:val="24"/>
          <w:szCs w:val="24"/>
          <w:lang w:eastAsia="pt-PT"/>
        </w:rPr>
        <w:t>Conclusões do sobre o </w:t>
      </w:r>
      <w:hyperlink r:id="rId12" w:history="1">
        <w:r w:rsidRPr="002F5E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papel da juventude na resposta aos desafios demográficos na União Europeia</w:t>
        </w:r>
      </w:hyperlink>
      <w:r w:rsidRPr="002F5ECC">
        <w:rPr>
          <w:rFonts w:ascii="Times New Roman" w:eastAsia="Times New Roman" w:hAnsi="Times New Roman" w:cs="Times New Roman"/>
          <w:sz w:val="24"/>
          <w:szCs w:val="24"/>
          <w:lang w:eastAsia="pt-PT"/>
        </w:rPr>
        <w:t>;</w:t>
      </w:r>
    </w:p>
    <w:p w:rsidR="002F5ECC" w:rsidRPr="002F5ECC" w:rsidRDefault="002F5ECC" w:rsidP="002F5E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F5ECC">
        <w:rPr>
          <w:rFonts w:ascii="Times New Roman" w:eastAsia="Times New Roman" w:hAnsi="Times New Roman" w:cs="Times New Roman"/>
          <w:sz w:val="24"/>
          <w:szCs w:val="24"/>
          <w:lang w:eastAsia="pt-PT"/>
        </w:rPr>
        <w:t>Debate ministerial sobre as prioridades futuras da política da UE para a juventude.</w:t>
      </w:r>
    </w:p>
    <w:p w:rsidR="002F5ECC" w:rsidRPr="002F5ECC" w:rsidRDefault="002F5ECC" w:rsidP="002F5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2F5ECC" w:rsidRPr="002F5ECC" w:rsidRDefault="002F5ECC" w:rsidP="002F5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F5ECC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Desporto</w:t>
      </w:r>
    </w:p>
    <w:p w:rsidR="002F5ECC" w:rsidRPr="002F5ECC" w:rsidRDefault="002F5ECC" w:rsidP="002F5E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F5ECC">
        <w:rPr>
          <w:rFonts w:ascii="Times New Roman" w:eastAsia="Times New Roman" w:hAnsi="Times New Roman" w:cs="Times New Roman"/>
          <w:sz w:val="24"/>
          <w:szCs w:val="24"/>
          <w:lang w:eastAsia="pt-PT"/>
        </w:rPr>
        <w:t>Conclusões sobre a </w:t>
      </w:r>
      <w:hyperlink r:id="rId13" w:history="1">
        <w:r w:rsidRPr="002F5E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promoção dos valores comuns da UE através do desporto</w:t>
        </w:r>
      </w:hyperlink>
      <w:r w:rsidRPr="002F5ECC">
        <w:rPr>
          <w:rFonts w:ascii="Times New Roman" w:eastAsia="Times New Roman" w:hAnsi="Times New Roman" w:cs="Times New Roman"/>
          <w:sz w:val="24"/>
          <w:szCs w:val="24"/>
          <w:lang w:eastAsia="pt-PT"/>
        </w:rPr>
        <w:t>;</w:t>
      </w:r>
    </w:p>
    <w:p w:rsidR="002F5ECC" w:rsidRPr="002F5ECC" w:rsidRDefault="002F5ECC" w:rsidP="002F5E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F5ECC">
        <w:rPr>
          <w:rFonts w:ascii="Times New Roman" w:eastAsia="Times New Roman" w:hAnsi="Times New Roman" w:cs="Times New Roman"/>
          <w:sz w:val="24"/>
          <w:szCs w:val="24"/>
          <w:lang w:eastAsia="pt-PT"/>
        </w:rPr>
        <w:t>Debate ministerial sobre a comercialização do desporto de alta competição e a sustentabilidade do modelo europeu do desporto.</w:t>
      </w:r>
    </w:p>
    <w:p w:rsidR="002F5ECC" w:rsidRPr="002F5ECC" w:rsidRDefault="002F5ECC" w:rsidP="002F5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2C4F2E" w:rsidRDefault="002F5ECC" w:rsidP="002F5ECC">
      <w:pPr>
        <w:spacing w:before="100" w:beforeAutospacing="1" w:after="100" w:afterAutospacing="1" w:line="240" w:lineRule="auto"/>
      </w:pPr>
      <w:hyperlink r:id="rId14" w:history="1">
        <w:r w:rsidRPr="002F5E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Resultados da Reunião do Conselho Educação, Juventude, Cultura e Desporto</w:t>
        </w:r>
      </w:hyperlink>
      <w:bookmarkStart w:id="0" w:name="_GoBack"/>
      <w:bookmarkEnd w:id="0"/>
    </w:p>
    <w:sectPr w:rsidR="002C4F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848C8"/>
    <w:multiLevelType w:val="multilevel"/>
    <w:tmpl w:val="A7E4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FE0158"/>
    <w:multiLevelType w:val="multilevel"/>
    <w:tmpl w:val="9074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6A3C36"/>
    <w:multiLevelType w:val="multilevel"/>
    <w:tmpl w:val="5D66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09"/>
    <w:rsid w:val="002C4F2E"/>
    <w:rsid w:val="002F5ECC"/>
    <w:rsid w:val="005E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7250"/>
  <w15:chartTrackingRefBased/>
  <w15:docId w15:val="{B8C940C6-61A5-4101-9E8D-AB9EC656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2F5ECC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2F5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9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consilium.europa.eu/doc/document/ST-8299-2018-INIT/en/pdf" TargetMode="External"/><Relationship Id="rId13" Type="http://schemas.openxmlformats.org/officeDocument/2006/relationships/hyperlink" Target="http://data.consilium.europa.eu/doc/document/ST-8032-2018-INIT/en/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education/education-summit_en" TargetMode="External"/><Relationship Id="rId12" Type="http://schemas.openxmlformats.org/officeDocument/2006/relationships/hyperlink" Target="http://data.consilium.europa.eu/doc/document/ST-8301-2018-INIT/en/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ilium.europa.eu/media/32594/education-aspects-european-council-conclusions-december-2017.pdf" TargetMode="External"/><Relationship Id="rId11" Type="http://schemas.openxmlformats.org/officeDocument/2006/relationships/hyperlink" Target="http://data.consilium.europa.eu/doc/document/ST-7834-2018-INIT/en/pdf" TargetMode="External"/><Relationship Id="rId5" Type="http://schemas.openxmlformats.org/officeDocument/2006/relationships/hyperlink" Target="http://www.consilium.europa.eu/media/32722/st06198-en18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ata.consilium.europa.eu/doc/document/ST-8701-2018-INIT/pt/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ta.consilium.europa.eu/doc/document/ST-8015-2018-INIT/en/pdf" TargetMode="External"/><Relationship Id="rId14" Type="http://schemas.openxmlformats.org/officeDocument/2006/relationships/hyperlink" Target="http://www.consilium.europa.eu/media/35296/st09078-en18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Magro</dc:creator>
  <cp:keywords/>
  <dc:description/>
  <cp:lastModifiedBy>Cristina Magro</cp:lastModifiedBy>
  <cp:revision>2</cp:revision>
  <dcterms:created xsi:type="dcterms:W3CDTF">2021-07-16T11:56:00Z</dcterms:created>
  <dcterms:modified xsi:type="dcterms:W3CDTF">2021-07-16T11:56:00Z</dcterms:modified>
</cp:coreProperties>
</file>